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sz w:val="19"/>
        </w:rPr>
        <w:t xml:space="preserve">Temeljem članka 9. Zakona o fiskalizaciji (Narodne novine, broj 89/2025), </w:t>
      </w:r>
      <w:r>
        <w:rPr>
          <w:b/>
          <w:sz w:val="19"/>
        </w:rPr>
        <w:t>[NAZIV TVRTKE ILI OBRTA]</w:t>
      </w:r>
      <w:r>
        <w:t xml:space="preserve"> iz [MJESTO/GRAD], [ULICA I KUĆNI BROJ], OIB: [OIB], donosi:</w:t>
      </w:r>
    </w:p>
    <w:p>
      <w:pPr>
        <w:spacing w:before="80" w:after="20"/>
        <w:jc w:val="center"/>
      </w:pPr>
      <w:r>
        <w:rPr>
          <w:b/>
          <w:sz w:val="30"/>
        </w:rPr>
        <w:t>ODLUKU</w:t>
      </w:r>
    </w:p>
    <w:p>
      <w:pPr>
        <w:spacing w:after="120"/>
        <w:jc w:val="center"/>
      </w:pPr>
      <w:r>
        <w:rPr>
          <w:b/>
          <w:sz w:val="21"/>
        </w:rPr>
        <w:t>o pravilima slijednosti numeričkih brojeva računa, o poslovnim prostorima,</w:t>
        <w:br/>
        <w:t>oznakama poslovnih prostora i operatera na naplatnim uređajima</w:t>
      </w:r>
    </w:p>
    <w:p>
      <w:pPr>
        <w:spacing w:before="120" w:after="60"/>
        <w:jc w:val="center"/>
      </w:pPr>
      <w:r>
        <w:rPr>
          <w:b/>
          <w:sz w:val="20"/>
        </w:rPr>
        <w:t>I.</w:t>
      </w:r>
    </w:p>
    <w:p>
      <w:pPr>
        <w:jc w:val="both"/>
      </w:pPr>
      <w:r>
        <w:t>Ovom Odlukom uređuje se popis poslovnih prostora s pripadajućim adresama i oznakama poslovnih prostora i operatera na naplatnim uređajima, radno vrijeme te pravilo slijednosti numeričkih brojeva računa.</w:t>
      </w:r>
    </w:p>
    <w:p>
      <w:pPr>
        <w:spacing w:before="120" w:after="60"/>
        <w:jc w:val="center"/>
      </w:pPr>
      <w:r>
        <w:rPr>
          <w:b/>
          <w:sz w:val="20"/>
        </w:rPr>
        <w:t>II.</w:t>
      </w:r>
    </w:p>
    <w:p>
      <w:pPr>
        <w:jc w:val="both"/>
      </w:pPr>
      <w:r>
        <w:t>Numerički broj računa po svakom naplatnom uređaju u poslovnom prostoru počinje s početkom kalendarske godine, na dan 1. siječnja, od rednog broja 1 do broja "n" na dan 31. prosinca tekuće godine, poštujući pravilo slijednosti računa.</w:t>
      </w:r>
    </w:p>
    <w:p>
      <w:pPr>
        <w:spacing w:before="120" w:after="60"/>
        <w:jc w:val="center"/>
      </w:pPr>
      <w:r>
        <w:rPr>
          <w:b/>
          <w:sz w:val="20"/>
        </w:rPr>
        <w:t>III.</w:t>
      </w:r>
    </w:p>
    <w:p>
      <w:pPr>
        <w:spacing w:after="60"/>
      </w:pPr>
      <w:r>
        <w:t>Popis svih poslovnih prostora s oznakama, pripadajućim adresama i radnim vremenom daje se u tablici u nastavku: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OZNAKA POSLOVNOG PROSTORA</w:t>
            </w:r>
          </w:p>
        </w:tc>
        <w:tc>
          <w:tcPr>
            <w:tcW w:type="dxa" w:w="40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ADRESA POSLOVNOG PROSTORA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RADNO VRIJEME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[npr. 1]</w:t>
            </w:r>
          </w:p>
        </w:tc>
        <w:tc>
          <w:tcPr>
            <w:tcW w:type="dxa" w:w="408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[adresa poslovnog prostora]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[radno vrijeme]</w:t>
            </w:r>
          </w:p>
        </w:tc>
      </w:tr>
    </w:tbl>
    <w:p>
      <w:pPr>
        <w:spacing w:before="120" w:after="60"/>
        <w:jc w:val="center"/>
      </w:pPr>
      <w:r>
        <w:rPr>
          <w:b/>
          <w:sz w:val="20"/>
        </w:rPr>
        <w:t>IV.</w:t>
      </w:r>
    </w:p>
    <w:p>
      <w:pPr>
        <w:spacing w:after="60"/>
      </w:pPr>
      <w:r>
        <w:t>Oznake naplatnih uređaja i operatera po pojedinom poslovnom prostoru daju se u tablici u nastavku: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OZNAKA POSLOVNOG PROSTORA</w:t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OZNAKA NAPLATNOG UREĐAJA</w:t>
            </w:r>
          </w:p>
        </w:tc>
        <w:tc>
          <w:tcPr>
            <w:tcW w:type="dxa" w:w="442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OZNAKA OPERATERA NA NAPLATNOM UREĐAJU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[npr. 1]</w:t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[npr. 1]</w:t>
            </w:r>
          </w:p>
        </w:tc>
        <w:tc>
          <w:tcPr>
            <w:tcW w:type="dxa" w:w="442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[oznaka operatera] OIB: [OIB operatera] [ime i prezime]</w:t>
              <w:br/>
              <w:t>[po potrebi dodati ostale operatere]</w:t>
            </w:r>
          </w:p>
        </w:tc>
      </w:tr>
    </w:tbl>
    <w:p>
      <w:pPr>
        <w:spacing w:before="120" w:after="60"/>
        <w:jc w:val="center"/>
      </w:pPr>
      <w:r>
        <w:rPr>
          <w:b/>
          <w:sz w:val="20"/>
        </w:rPr>
        <w:t>V.</w:t>
      </w:r>
    </w:p>
    <w:p>
      <w:pPr>
        <w:spacing w:after="60"/>
        <w:jc w:val="both"/>
      </w:pPr>
      <w:r>
        <w:t>Numerički slijed računa vodi se po svakom naplatnom uređaju unutar poslovnog prostora. Broj računa sastoji se od numeričkog broja računa, oznake poslovnog prostora i oznake naplatnog uređaja.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rPr>
          <w:cantSplit/>
        </w:trP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7E7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PRIMJER SLIJEDA RAČUNA</w:t>
            </w:r>
          </w:p>
        </w:tc>
      </w:tr>
      <w:tr>
        <w:trPr>
          <w:cantSplit/>
        </w:trP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1/[OZNAKA POSLOVNOG PROSTORA]/[OZNAKA NAPLATNOG UREĐAJA]</w:t>
            </w:r>
          </w:p>
        </w:tc>
      </w:tr>
      <w:tr>
        <w:trPr>
          <w:cantSplit/>
        </w:trP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2/[OZNAKA POSLOVNOG PROSTORA]/[OZNAKA NAPLATNOG UREĐAJA]</w:t>
            </w:r>
          </w:p>
        </w:tc>
      </w:tr>
      <w:tr>
        <w:trPr>
          <w:cantSplit/>
        </w:trP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sz w:val="18"/>
              </w:rPr>
              <w:t>n/[OZNAKA POSLOVNOG PROSTORA]/[OZNAKA NAPLATNOG UREĐAJA]</w:t>
            </w:r>
          </w:p>
        </w:tc>
      </w:tr>
    </w:tbl>
    <w:p>
      <w:pPr>
        <w:spacing w:before="160"/>
      </w:pPr>
      <w:r>
        <w:rPr>
          <w:b w:val="0"/>
        </w:rPr>
        <w:t xml:space="preserve">Ova Odluka stupa na snagu </w:t>
      </w:r>
      <w:r>
        <w:rPr>
          <w:b/>
        </w:rPr>
        <w:t>[DATUM]</w:t>
      </w:r>
      <w:r>
        <w:t xml:space="preserve"> i primjenjuje se od </w:t>
      </w:r>
      <w:r>
        <w:rPr>
          <w:b/>
        </w:rPr>
        <w:t>[DATUM]</w:t>
      </w:r>
      <w:r>
        <w:t>.</w:t>
      </w:r>
    </w:p>
    <w:p>
      <w:pPr>
        <w:spacing w:before="240" w:after="0"/>
      </w:pPr>
      <w:r>
        <w:rPr>
          <w:b/>
        </w:rPr>
        <w:t>Potpis i pečat ovlaštene osobe</w:t>
      </w:r>
    </w:p>
    <w:p>
      <w:pPr>
        <w:spacing w:after="0"/>
      </w:pPr>
      <w:r>
        <w:br/>
        <w:t>______________________________</w:t>
      </w:r>
    </w:p>
    <w:p>
      <w:pPr>
        <w:spacing w:after="0"/>
      </w:pPr>
      <w:r>
        <w:t>[IME I PREZIME ODGOVORNE OSOBE]</w:t>
      </w:r>
    </w:p>
    <w:p>
      <w:r>
        <w:t>Datum: __________________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4"/>
      </w:rPr>
      <w:t>Predložak - prije primjene provjeriti i prilagoditi stvarnim podacima obveznika.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